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D0247" w14:textId="77777777" w:rsidR="004353DB" w:rsidRDefault="004353DB" w:rsidP="004E3BDC">
      <w:pPr>
        <w:jc w:val="center"/>
        <w:rPr>
          <w:rFonts w:ascii="Arial" w:hAnsi="Arial" w:cs="Arial"/>
          <w:b/>
          <w:szCs w:val="20"/>
        </w:rPr>
      </w:pPr>
      <w:r w:rsidRPr="004353DB">
        <w:rPr>
          <w:rFonts w:ascii="Arial" w:hAnsi="Arial" w:cs="Arial"/>
          <w:b/>
          <w:szCs w:val="20"/>
        </w:rPr>
        <w:t xml:space="preserve">INSTITUTO DE PROTEÇÃO AMBIENTAL DO AMAZONAS </w:t>
      </w:r>
      <w:r>
        <w:rPr>
          <w:rFonts w:ascii="Arial" w:hAnsi="Arial" w:cs="Arial"/>
          <w:b/>
          <w:szCs w:val="20"/>
        </w:rPr>
        <w:t>–</w:t>
      </w:r>
      <w:r w:rsidRPr="004353DB">
        <w:rPr>
          <w:rFonts w:ascii="Arial" w:hAnsi="Arial" w:cs="Arial"/>
          <w:b/>
          <w:szCs w:val="20"/>
        </w:rPr>
        <w:t xml:space="preserve"> IPAAM</w:t>
      </w:r>
    </w:p>
    <w:p w14:paraId="544D250D" w14:textId="77777777" w:rsidR="004353DB" w:rsidRPr="004353DB" w:rsidRDefault="004353DB" w:rsidP="004E3BDC">
      <w:pPr>
        <w:jc w:val="center"/>
        <w:rPr>
          <w:rFonts w:ascii="Arial" w:hAnsi="Arial" w:cs="Arial"/>
          <w:b/>
          <w:szCs w:val="20"/>
        </w:rPr>
      </w:pPr>
      <w:r w:rsidRPr="004353DB">
        <w:rPr>
          <w:rFonts w:ascii="Arial" w:hAnsi="Arial" w:cs="Arial"/>
          <w:b/>
          <w:szCs w:val="20"/>
        </w:rPr>
        <w:t>PORTARIA/IPAAM/N.º 088/2020</w:t>
      </w:r>
    </w:p>
    <w:p w14:paraId="2E933399"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Dispõe sobre a dispensa de licenciamento ambiental para agropecuária, consideradas com potencial poluidor/degradador reduzido no Estado do Amazonas.</w:t>
      </w:r>
    </w:p>
    <w:p w14:paraId="602F402F"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O Diretor Presidente do INSTITUTO DE PROTEÇÃO AMBIENTAL DO AMAZONAS - IPAAM, no uso de suas atribuições conferidas Lei nº 2.367, de 14 de dezembro de 1995, instituída pelo Decreto nº 17.033, de 11 de março de 1996, no uso de suas atribuições que lhe são conferidas pelo artigo 11 da Lei Delegada nº 102 de 2007; </w:t>
      </w:r>
    </w:p>
    <w:p w14:paraId="0FBE2F7B"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CONSIDERANDO, a necessidade de regulamentação do Art. 6º, § 1º, da Lei Estadual nº 3.785/12, que trata da dispensa do licenciamento ambiental estadual para atividades de potencial poluidor/degradador reduzido; </w:t>
      </w:r>
    </w:p>
    <w:p w14:paraId="0E304473"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CONSIDERANDO a necessidade de estabelecer parâmetros para o enquadramento das atividades consideradas com o potencial reduzido, objeto de dispensa do licenciamento e Declaração de Inexigibilidade (DI) conforme referenciado no Art. 6º e 21, da Lei n.º 3.785 de 24 de julho de 2012. </w:t>
      </w:r>
    </w:p>
    <w:p w14:paraId="6CBE9D2E"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CONSIDERANDO que o Cadastro Ambiental Rural é a via que integra as atividades rurais e por promover a regularização ambiental dos imóveis rurais do Estado do Amazonas, compondo desta forma a base de dados para controle, monitoramento, planejamento ambiental e econômico, aliados a Lei Estadual nº 4.406/16. </w:t>
      </w:r>
    </w:p>
    <w:p w14:paraId="67A0F0C2"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CONSIDERANDO que o Instituto de Proteção Ambiental do Amazonas - IPAAM tem buscado a implementação de sistemas informatizados que visem à melhoria contínua da prestação dos serviços oferecidos à sociedade. RESOLVE: </w:t>
      </w:r>
    </w:p>
    <w:p w14:paraId="244136D8"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Art. 1º - Ficam dispensadas do licenciamento ambiental estadual as atividades agropecuárias com potencial poluidor degradador reduzido, conforme dispostas na Lei nº 3.785/2012, mediante a solicitação de Declaração de Inexigibilidade (DI) ao IPAAM, obedecendo às linhas de corte previstas no Anexo I desta Portaria. </w:t>
      </w:r>
    </w:p>
    <w:p w14:paraId="74E1B350"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 1º Para a emissão da Declaração de Inexigibilidade (DI) para as atividades agropecuárias mencionadas no caput o IPAAM considerará as seguintes condições: </w:t>
      </w:r>
    </w:p>
    <w:p w14:paraId="11A902C5"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I - A Declaração de Inexigibilidade (DI) será válida por 04 (quatro) anos. </w:t>
      </w:r>
    </w:p>
    <w:p w14:paraId="1BDBF90A"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II - A Declaração de Inexigibilidade (DI) não contempla novas intervenções em Áreas de Preservação Permanente e/ou supressão de vegetação nativa. </w:t>
      </w:r>
    </w:p>
    <w:p w14:paraId="60EDB452"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Art. 2º - A solicitação de Declaração de Inexigibilidade (DI) irá prosseguir se o CAR do imóvel estiver com status em uma das seguintes condições: </w:t>
      </w:r>
    </w:p>
    <w:p w14:paraId="1A2B96C4"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I - Analisado com pendências, aguardando atendimento a outras restrições; </w:t>
      </w:r>
    </w:p>
    <w:p w14:paraId="1543A30A"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II - Analisado sem pendências; </w:t>
      </w:r>
    </w:p>
    <w:p w14:paraId="5ED27532"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III - Analisado sem pendências, passível de nova análise; </w:t>
      </w:r>
    </w:p>
    <w:p w14:paraId="4AE6F2B4"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IV - Analisado, aguardando regularização ambiental (Lei nº 12.651/12 e Lei Estadual nº. 4.406/16). </w:t>
      </w:r>
    </w:p>
    <w:p w14:paraId="18F9C0AE"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 1º Quando do pedido de solicitação de DI se o status do CAR não se encontre nas situações descritas neste artigo, o sistema emitirá alerta ao Gestor Operacional do CAR para providências de análise, com a continuidade da solicitação somente após alteração para os status mencionados. </w:t>
      </w:r>
    </w:p>
    <w:p w14:paraId="40618C28" w14:textId="77777777" w:rsidR="00071EBE" w:rsidRPr="004353DB" w:rsidRDefault="004353DB" w:rsidP="004E3BDC">
      <w:pPr>
        <w:spacing w:before="240"/>
        <w:jc w:val="both"/>
        <w:rPr>
          <w:rFonts w:ascii="Arial" w:hAnsi="Arial" w:cs="Arial"/>
          <w:sz w:val="20"/>
          <w:szCs w:val="20"/>
        </w:rPr>
      </w:pPr>
      <w:r w:rsidRPr="004353DB">
        <w:rPr>
          <w:rFonts w:ascii="Arial" w:hAnsi="Arial" w:cs="Arial"/>
          <w:sz w:val="20"/>
          <w:szCs w:val="20"/>
        </w:rPr>
        <w:lastRenderedPageBreak/>
        <w:t>§ 2º A partir da implementação do sistema digital de licenciamento ambiental, a solicitação de DI para as atividades em área consolidada descritas nesta Portaria serão realizadas de forma automática, sem análise humana.</w:t>
      </w:r>
    </w:p>
    <w:p w14:paraId="794AB62A"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Art. 3º - A qualquer tempo, o IPAAM poderá realizar vistoria de monitoramento da atividade dispensada de licenciamento ambiental, na forma do art. 6º, parágrafo 2º da Lei nº 3.785/12. </w:t>
      </w:r>
    </w:p>
    <w:p w14:paraId="423B6F14"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Art. 4º - Os detentores da DI para as atividades definidas nesta Portaria continuam obrigadas ao cumprimento das normas e padrões ambientais e sujeitas à fiscalização exercidas pelos órgãos competentes, contudo, não se eximem de solicitar os atos administrativos obrigatórios para supressão vegetal e/ou intervenção em áreas protegidas. </w:t>
      </w:r>
    </w:p>
    <w:p w14:paraId="7D213BFC"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Art. 5º - Quando caracterizada como agricultura familiar, a atividade produtiva orgânica regida pela Lei nº 10.831/03 e Decreto nº 6.323/07, será contemplada com a Dispensa de Inexigibilidade, obedecendo aos critérios utilizados nesta portaria, bem como a lei vigente.</w:t>
      </w:r>
    </w:p>
    <w:p w14:paraId="7F073E0F"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Art. 6º - A dispensa de licenciamento ambiental não exime o proprietário/ possuidor do cumprimento das exigências legais ambientais, com a correta destinação de efluentes e resíduos. </w:t>
      </w:r>
    </w:p>
    <w:p w14:paraId="53E4CE0B"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Art. 7º - Qualquer alteração nos critérios legais e/ou mudança na condução da atividade produtiva que acarrete o aumento do potencial poluidor ou degradador da mesma obriga o empreendedor a solicitar a licença ambiental pertinente. </w:t>
      </w:r>
    </w:p>
    <w:p w14:paraId="0BC15AEF"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Art. 8º - A Declaração de Inexigibilidade será cancelada ou suspensa quando do cancelamento ou suspensão do CAR do imóvel, no qual está inserida a atividade, bem como, se constatado qualquer desvio de finalidade/atividade pelo interessado. </w:t>
      </w:r>
    </w:p>
    <w:p w14:paraId="13CA3B9F" w14:textId="77777777" w:rsidR="004E3BDC" w:rsidRDefault="004353DB" w:rsidP="004E3BDC">
      <w:pPr>
        <w:spacing w:before="240"/>
        <w:jc w:val="both"/>
        <w:rPr>
          <w:rFonts w:ascii="Arial" w:hAnsi="Arial" w:cs="Arial"/>
          <w:sz w:val="20"/>
          <w:szCs w:val="20"/>
        </w:rPr>
      </w:pPr>
      <w:r w:rsidRPr="004353DB">
        <w:rPr>
          <w:rFonts w:ascii="Arial" w:hAnsi="Arial" w:cs="Arial"/>
          <w:sz w:val="20"/>
          <w:szCs w:val="20"/>
        </w:rPr>
        <w:t xml:space="preserve">§ 1º O IPAAM dará publicidade às Declarações de Inexigibilidade canceladas ou suspensas. </w:t>
      </w:r>
    </w:p>
    <w:p w14:paraId="505E1076"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Art. </w:t>
      </w:r>
      <w:r w:rsidRPr="004E3BDC">
        <w:rPr>
          <w:rFonts w:ascii="Arial" w:hAnsi="Arial" w:cs="Arial"/>
          <w:color w:val="FF0000"/>
          <w:sz w:val="20"/>
          <w:szCs w:val="20"/>
        </w:rPr>
        <w:t>8</w:t>
      </w:r>
      <w:r w:rsidRPr="004353DB">
        <w:rPr>
          <w:rFonts w:ascii="Arial" w:hAnsi="Arial" w:cs="Arial"/>
          <w:sz w:val="20"/>
          <w:szCs w:val="20"/>
        </w:rPr>
        <w:t>º - Esta Portaria entra em vigor na data de sua publicação</w:t>
      </w:r>
    </w:p>
    <w:p w14:paraId="43AA6691" w14:textId="77777777" w:rsidR="004353DB" w:rsidRPr="004353DB" w:rsidRDefault="004353DB" w:rsidP="004E3BDC">
      <w:pPr>
        <w:spacing w:before="240"/>
        <w:jc w:val="both"/>
        <w:rPr>
          <w:rFonts w:ascii="Arial" w:hAnsi="Arial" w:cs="Arial"/>
          <w:sz w:val="20"/>
          <w:szCs w:val="20"/>
        </w:rPr>
      </w:pPr>
    </w:p>
    <w:p w14:paraId="7B2DB17F"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br w:type="page"/>
      </w:r>
    </w:p>
    <w:p w14:paraId="22FF59C3" w14:textId="77777777" w:rsidR="004353DB" w:rsidRPr="004353DB" w:rsidRDefault="004353DB" w:rsidP="004E3BDC">
      <w:pPr>
        <w:spacing w:before="240"/>
        <w:jc w:val="both"/>
        <w:rPr>
          <w:rFonts w:ascii="Arial" w:hAnsi="Arial" w:cs="Arial"/>
          <w:sz w:val="20"/>
          <w:szCs w:val="20"/>
        </w:rPr>
      </w:pPr>
    </w:p>
    <w:p w14:paraId="392354CC" w14:textId="77777777" w:rsidR="004353DB" w:rsidRPr="004E3BDC" w:rsidRDefault="004353DB" w:rsidP="004E3BDC">
      <w:pPr>
        <w:spacing w:before="240"/>
        <w:jc w:val="center"/>
        <w:rPr>
          <w:rFonts w:ascii="Arial" w:hAnsi="Arial" w:cs="Arial"/>
          <w:b/>
          <w:sz w:val="20"/>
          <w:szCs w:val="20"/>
        </w:rPr>
      </w:pPr>
      <w:r w:rsidRPr="004E3BDC">
        <w:rPr>
          <w:rFonts w:ascii="Arial" w:hAnsi="Arial" w:cs="Arial"/>
          <w:b/>
          <w:sz w:val="20"/>
          <w:szCs w:val="20"/>
        </w:rPr>
        <w:t>ANEXO I</w:t>
      </w:r>
    </w:p>
    <w:tbl>
      <w:tblPr>
        <w:tblStyle w:val="Tabelacomgrade"/>
        <w:tblW w:w="0" w:type="auto"/>
        <w:tblLook w:val="04A0" w:firstRow="1" w:lastRow="0" w:firstColumn="1" w:lastColumn="0" w:noHBand="0" w:noVBand="1"/>
      </w:tblPr>
      <w:tblGrid>
        <w:gridCol w:w="2123"/>
        <w:gridCol w:w="2124"/>
        <w:gridCol w:w="4962"/>
      </w:tblGrid>
      <w:tr w:rsidR="004353DB" w:rsidRPr="004E3BDC" w14:paraId="7A293EE6" w14:textId="77777777" w:rsidTr="004E3BDC">
        <w:trPr>
          <w:trHeight w:val="509"/>
        </w:trPr>
        <w:tc>
          <w:tcPr>
            <w:tcW w:w="4247" w:type="dxa"/>
            <w:gridSpan w:val="2"/>
            <w:vAlign w:val="center"/>
          </w:tcPr>
          <w:p w14:paraId="1B78F07A" w14:textId="77777777" w:rsidR="004353DB" w:rsidRPr="004E3BDC" w:rsidRDefault="004353DB" w:rsidP="004E3BDC">
            <w:pPr>
              <w:jc w:val="center"/>
              <w:rPr>
                <w:rFonts w:ascii="Arial" w:hAnsi="Arial" w:cs="Arial"/>
                <w:b/>
                <w:sz w:val="20"/>
                <w:szCs w:val="20"/>
              </w:rPr>
            </w:pPr>
            <w:r w:rsidRPr="004E3BDC">
              <w:rPr>
                <w:rFonts w:ascii="Arial" w:hAnsi="Arial" w:cs="Arial"/>
                <w:b/>
                <w:sz w:val="20"/>
                <w:szCs w:val="20"/>
              </w:rPr>
              <w:t>ATIVIDADES</w:t>
            </w:r>
          </w:p>
        </w:tc>
        <w:tc>
          <w:tcPr>
            <w:tcW w:w="4962" w:type="dxa"/>
            <w:vAlign w:val="center"/>
          </w:tcPr>
          <w:p w14:paraId="09AE2E0C" w14:textId="77777777" w:rsidR="004353DB" w:rsidRPr="004E3BDC" w:rsidRDefault="004353DB" w:rsidP="004E3BDC">
            <w:pPr>
              <w:jc w:val="center"/>
              <w:rPr>
                <w:rFonts w:ascii="Arial" w:hAnsi="Arial" w:cs="Arial"/>
                <w:b/>
                <w:sz w:val="20"/>
                <w:szCs w:val="20"/>
              </w:rPr>
            </w:pPr>
            <w:r w:rsidRPr="004E3BDC">
              <w:rPr>
                <w:rFonts w:ascii="Arial" w:hAnsi="Arial" w:cs="Arial"/>
                <w:b/>
                <w:sz w:val="20"/>
                <w:szCs w:val="20"/>
              </w:rPr>
              <w:t>CRITÉRIOS DE DISPENSA</w:t>
            </w:r>
          </w:p>
        </w:tc>
      </w:tr>
      <w:tr w:rsidR="004353DB" w:rsidRPr="004353DB" w14:paraId="36AE91F3" w14:textId="77777777" w:rsidTr="004E3BDC">
        <w:trPr>
          <w:trHeight w:val="1267"/>
        </w:trPr>
        <w:tc>
          <w:tcPr>
            <w:tcW w:w="4247" w:type="dxa"/>
            <w:gridSpan w:val="2"/>
            <w:vAlign w:val="center"/>
          </w:tcPr>
          <w:p w14:paraId="1B5EF4C5" w14:textId="77777777" w:rsidR="004353DB" w:rsidRPr="004353DB" w:rsidRDefault="004353DB" w:rsidP="004E3BDC">
            <w:pPr>
              <w:jc w:val="center"/>
              <w:rPr>
                <w:rFonts w:ascii="Arial" w:hAnsi="Arial" w:cs="Arial"/>
                <w:sz w:val="20"/>
                <w:szCs w:val="20"/>
              </w:rPr>
            </w:pPr>
            <w:r w:rsidRPr="004353DB">
              <w:rPr>
                <w:rFonts w:ascii="Arial" w:hAnsi="Arial" w:cs="Arial"/>
                <w:sz w:val="20"/>
                <w:szCs w:val="20"/>
              </w:rPr>
              <w:t>Culturas permanentes</w:t>
            </w:r>
          </w:p>
        </w:tc>
        <w:tc>
          <w:tcPr>
            <w:tcW w:w="4962" w:type="dxa"/>
            <w:vAlign w:val="center"/>
          </w:tcPr>
          <w:p w14:paraId="24E0DCBF" w14:textId="77777777" w:rsidR="004353DB" w:rsidRPr="004E3BDC" w:rsidRDefault="004353DB" w:rsidP="004E3BDC">
            <w:pPr>
              <w:rPr>
                <w:rFonts w:ascii="Arial" w:hAnsi="Arial" w:cs="Arial"/>
                <w:b/>
                <w:sz w:val="20"/>
                <w:szCs w:val="20"/>
              </w:rPr>
            </w:pPr>
            <w:r w:rsidRPr="004E3BDC">
              <w:rPr>
                <w:rFonts w:ascii="Arial" w:hAnsi="Arial" w:cs="Arial"/>
                <w:b/>
                <w:sz w:val="20"/>
                <w:szCs w:val="20"/>
              </w:rPr>
              <w:t>1. Área útil de até 10,0 ha; e</w:t>
            </w:r>
          </w:p>
          <w:p w14:paraId="6181412F" w14:textId="77777777" w:rsidR="004353DB" w:rsidRPr="004E3BDC" w:rsidRDefault="004353DB" w:rsidP="004E3BDC">
            <w:pPr>
              <w:rPr>
                <w:rFonts w:ascii="Arial" w:hAnsi="Arial" w:cs="Arial"/>
                <w:b/>
                <w:sz w:val="20"/>
                <w:szCs w:val="20"/>
              </w:rPr>
            </w:pPr>
            <w:r w:rsidRPr="004E3BDC">
              <w:rPr>
                <w:rFonts w:ascii="Arial" w:hAnsi="Arial" w:cs="Arial"/>
                <w:b/>
                <w:sz w:val="20"/>
                <w:szCs w:val="20"/>
              </w:rPr>
              <w:t>2. Quando do uso de agrotóxicos, apresentação de comprovante de entrega das embalagens vazias de agrotóxicos nos postos ou central de recebimento</w:t>
            </w:r>
          </w:p>
        </w:tc>
      </w:tr>
      <w:tr w:rsidR="004353DB" w:rsidRPr="004353DB" w14:paraId="60DA009D" w14:textId="77777777" w:rsidTr="004E3BDC">
        <w:trPr>
          <w:trHeight w:val="1121"/>
        </w:trPr>
        <w:tc>
          <w:tcPr>
            <w:tcW w:w="2123" w:type="dxa"/>
            <w:vMerge w:val="restart"/>
            <w:vAlign w:val="center"/>
          </w:tcPr>
          <w:p w14:paraId="6221E401" w14:textId="77777777" w:rsidR="004353DB" w:rsidRPr="004353DB" w:rsidRDefault="004353DB" w:rsidP="004E3BDC">
            <w:pPr>
              <w:jc w:val="center"/>
              <w:rPr>
                <w:rFonts w:ascii="Arial" w:hAnsi="Arial" w:cs="Arial"/>
                <w:sz w:val="20"/>
                <w:szCs w:val="20"/>
              </w:rPr>
            </w:pPr>
            <w:r w:rsidRPr="004353DB">
              <w:rPr>
                <w:rFonts w:ascii="Arial" w:hAnsi="Arial" w:cs="Arial"/>
                <w:sz w:val="20"/>
                <w:szCs w:val="20"/>
              </w:rPr>
              <w:t>Culturas temporárias</w:t>
            </w:r>
          </w:p>
        </w:tc>
        <w:tc>
          <w:tcPr>
            <w:tcW w:w="2124" w:type="dxa"/>
            <w:vAlign w:val="center"/>
          </w:tcPr>
          <w:p w14:paraId="4934D434" w14:textId="77777777" w:rsidR="004353DB" w:rsidRPr="004353DB" w:rsidRDefault="004353DB" w:rsidP="004E3BDC">
            <w:pPr>
              <w:jc w:val="center"/>
              <w:rPr>
                <w:rFonts w:ascii="Arial" w:hAnsi="Arial" w:cs="Arial"/>
                <w:sz w:val="20"/>
                <w:szCs w:val="20"/>
              </w:rPr>
            </w:pPr>
            <w:r w:rsidRPr="004353DB">
              <w:rPr>
                <w:rFonts w:ascii="Arial" w:hAnsi="Arial" w:cs="Arial"/>
                <w:sz w:val="20"/>
                <w:szCs w:val="20"/>
              </w:rPr>
              <w:t>Cultivo a céu aberto</w:t>
            </w:r>
          </w:p>
        </w:tc>
        <w:tc>
          <w:tcPr>
            <w:tcW w:w="4962" w:type="dxa"/>
            <w:vAlign w:val="center"/>
          </w:tcPr>
          <w:p w14:paraId="0ABDA091" w14:textId="77777777" w:rsidR="004353DB" w:rsidRPr="004E3BDC" w:rsidRDefault="004353DB" w:rsidP="004E3BDC">
            <w:pPr>
              <w:rPr>
                <w:rFonts w:ascii="Arial" w:hAnsi="Arial" w:cs="Arial"/>
                <w:b/>
                <w:sz w:val="20"/>
                <w:szCs w:val="20"/>
              </w:rPr>
            </w:pPr>
            <w:r w:rsidRPr="004E3BDC">
              <w:rPr>
                <w:rFonts w:ascii="Arial" w:hAnsi="Arial" w:cs="Arial"/>
                <w:b/>
                <w:sz w:val="20"/>
                <w:szCs w:val="20"/>
              </w:rPr>
              <w:t>1. Área útil de até 10,0 ha; e</w:t>
            </w:r>
          </w:p>
          <w:p w14:paraId="27C58DB4" w14:textId="77777777" w:rsidR="004353DB" w:rsidRPr="004E3BDC" w:rsidRDefault="004353DB" w:rsidP="004E3BDC">
            <w:pPr>
              <w:rPr>
                <w:rFonts w:ascii="Arial" w:hAnsi="Arial" w:cs="Arial"/>
                <w:b/>
                <w:sz w:val="20"/>
                <w:szCs w:val="20"/>
              </w:rPr>
            </w:pPr>
            <w:r w:rsidRPr="004E3BDC">
              <w:rPr>
                <w:rFonts w:ascii="Arial" w:hAnsi="Arial" w:cs="Arial"/>
                <w:b/>
                <w:sz w:val="20"/>
                <w:szCs w:val="20"/>
              </w:rPr>
              <w:t>2. Quando do uso de agrotóxicos, apresentação de comprovante de entrega das embalagens vazias de agrotóxicos nos postos ou central de recebimento.</w:t>
            </w:r>
          </w:p>
        </w:tc>
      </w:tr>
      <w:tr w:rsidR="004353DB" w:rsidRPr="004353DB" w14:paraId="16C1A1AD" w14:textId="77777777" w:rsidTr="004E3BDC">
        <w:trPr>
          <w:trHeight w:val="1190"/>
        </w:trPr>
        <w:tc>
          <w:tcPr>
            <w:tcW w:w="2123" w:type="dxa"/>
            <w:vMerge/>
            <w:vAlign w:val="center"/>
          </w:tcPr>
          <w:p w14:paraId="26567927" w14:textId="77777777" w:rsidR="004353DB" w:rsidRPr="004353DB" w:rsidRDefault="004353DB" w:rsidP="004E3BDC">
            <w:pPr>
              <w:jc w:val="center"/>
              <w:rPr>
                <w:rFonts w:ascii="Arial" w:hAnsi="Arial" w:cs="Arial"/>
                <w:sz w:val="20"/>
                <w:szCs w:val="20"/>
              </w:rPr>
            </w:pPr>
          </w:p>
        </w:tc>
        <w:tc>
          <w:tcPr>
            <w:tcW w:w="2124" w:type="dxa"/>
            <w:vAlign w:val="center"/>
          </w:tcPr>
          <w:p w14:paraId="5E729925" w14:textId="77777777" w:rsidR="004353DB" w:rsidRPr="004353DB" w:rsidRDefault="004353DB" w:rsidP="004E3BDC">
            <w:pPr>
              <w:jc w:val="center"/>
              <w:rPr>
                <w:rFonts w:ascii="Arial" w:hAnsi="Arial" w:cs="Arial"/>
                <w:sz w:val="20"/>
                <w:szCs w:val="20"/>
              </w:rPr>
            </w:pPr>
            <w:r w:rsidRPr="004353DB">
              <w:rPr>
                <w:rFonts w:ascii="Arial" w:hAnsi="Arial" w:cs="Arial"/>
                <w:sz w:val="20"/>
                <w:szCs w:val="20"/>
              </w:rPr>
              <w:t>Cultivo protegido</w:t>
            </w:r>
          </w:p>
        </w:tc>
        <w:tc>
          <w:tcPr>
            <w:tcW w:w="4962" w:type="dxa"/>
            <w:vAlign w:val="center"/>
          </w:tcPr>
          <w:p w14:paraId="6D6A0152" w14:textId="77777777" w:rsidR="004353DB" w:rsidRPr="004E3BDC" w:rsidRDefault="004353DB" w:rsidP="004E3BDC">
            <w:pPr>
              <w:rPr>
                <w:rFonts w:ascii="Arial" w:hAnsi="Arial" w:cs="Arial"/>
                <w:b/>
                <w:sz w:val="20"/>
                <w:szCs w:val="20"/>
              </w:rPr>
            </w:pPr>
            <w:r w:rsidRPr="004E3BDC">
              <w:rPr>
                <w:rFonts w:ascii="Arial" w:hAnsi="Arial" w:cs="Arial"/>
                <w:b/>
                <w:sz w:val="20"/>
                <w:szCs w:val="20"/>
              </w:rPr>
              <w:t>1. Área útil de até 0,5 ha; e 2. Quando do uso de agrotóxicos, apresentação de comprovante de entrega das embalagens vazias de agrotóxicos nos postos ou central de recebimento.</w:t>
            </w:r>
          </w:p>
        </w:tc>
      </w:tr>
      <w:tr w:rsidR="004353DB" w:rsidRPr="004353DB" w14:paraId="339BB02A" w14:textId="77777777" w:rsidTr="004E3BDC">
        <w:trPr>
          <w:trHeight w:val="488"/>
        </w:trPr>
        <w:tc>
          <w:tcPr>
            <w:tcW w:w="4247" w:type="dxa"/>
            <w:gridSpan w:val="2"/>
            <w:vAlign w:val="center"/>
          </w:tcPr>
          <w:p w14:paraId="1D641921" w14:textId="77777777" w:rsidR="004353DB" w:rsidRPr="004353DB" w:rsidRDefault="004353DB" w:rsidP="004E3BDC">
            <w:pPr>
              <w:jc w:val="center"/>
              <w:rPr>
                <w:rFonts w:ascii="Arial" w:hAnsi="Arial" w:cs="Arial"/>
                <w:sz w:val="20"/>
                <w:szCs w:val="20"/>
              </w:rPr>
            </w:pPr>
            <w:r w:rsidRPr="004353DB">
              <w:rPr>
                <w:rFonts w:ascii="Arial" w:hAnsi="Arial" w:cs="Arial"/>
                <w:sz w:val="20"/>
                <w:szCs w:val="20"/>
              </w:rPr>
              <w:t>Sistemas Agroflorestais</w:t>
            </w:r>
          </w:p>
        </w:tc>
        <w:tc>
          <w:tcPr>
            <w:tcW w:w="4962" w:type="dxa"/>
            <w:vAlign w:val="center"/>
          </w:tcPr>
          <w:p w14:paraId="2424D212" w14:textId="77777777" w:rsidR="004353DB" w:rsidRPr="004E3BDC" w:rsidRDefault="004353DB" w:rsidP="004E3BDC">
            <w:pPr>
              <w:rPr>
                <w:rFonts w:ascii="Arial" w:hAnsi="Arial" w:cs="Arial"/>
                <w:b/>
                <w:sz w:val="20"/>
                <w:szCs w:val="20"/>
              </w:rPr>
            </w:pPr>
            <w:r w:rsidRPr="004E3BDC">
              <w:rPr>
                <w:rFonts w:ascii="Arial" w:hAnsi="Arial" w:cs="Arial"/>
                <w:b/>
                <w:sz w:val="20"/>
                <w:szCs w:val="20"/>
              </w:rPr>
              <w:t>Área até 10 ha.</w:t>
            </w:r>
          </w:p>
        </w:tc>
      </w:tr>
      <w:tr w:rsidR="004353DB" w:rsidRPr="004353DB" w14:paraId="56052C92" w14:textId="77777777" w:rsidTr="004E3BDC">
        <w:trPr>
          <w:trHeight w:val="574"/>
        </w:trPr>
        <w:tc>
          <w:tcPr>
            <w:tcW w:w="2123" w:type="dxa"/>
            <w:vMerge w:val="restart"/>
            <w:vAlign w:val="center"/>
          </w:tcPr>
          <w:p w14:paraId="76C21ADD" w14:textId="77777777" w:rsidR="004353DB" w:rsidRPr="004353DB" w:rsidRDefault="004353DB" w:rsidP="004E3BDC">
            <w:pPr>
              <w:jc w:val="center"/>
              <w:rPr>
                <w:rFonts w:ascii="Arial" w:hAnsi="Arial" w:cs="Arial"/>
                <w:sz w:val="20"/>
                <w:szCs w:val="20"/>
              </w:rPr>
            </w:pPr>
            <w:r w:rsidRPr="004353DB">
              <w:rPr>
                <w:rFonts w:ascii="Arial" w:hAnsi="Arial" w:cs="Arial"/>
                <w:sz w:val="20"/>
                <w:szCs w:val="20"/>
              </w:rPr>
              <w:t>Criação de animais de pequeno porte</w:t>
            </w:r>
          </w:p>
        </w:tc>
        <w:tc>
          <w:tcPr>
            <w:tcW w:w="2124" w:type="dxa"/>
            <w:vAlign w:val="center"/>
          </w:tcPr>
          <w:p w14:paraId="0F8D87CD" w14:textId="77777777" w:rsidR="004353DB" w:rsidRPr="004353DB" w:rsidRDefault="004353DB" w:rsidP="004E3BDC">
            <w:pPr>
              <w:jc w:val="center"/>
              <w:rPr>
                <w:rFonts w:ascii="Arial" w:hAnsi="Arial" w:cs="Arial"/>
                <w:sz w:val="20"/>
                <w:szCs w:val="20"/>
              </w:rPr>
            </w:pPr>
            <w:r w:rsidRPr="004353DB">
              <w:rPr>
                <w:rFonts w:ascii="Arial" w:hAnsi="Arial" w:cs="Arial"/>
                <w:sz w:val="20"/>
                <w:szCs w:val="20"/>
              </w:rPr>
              <w:t>Aves de postura</w:t>
            </w:r>
          </w:p>
        </w:tc>
        <w:tc>
          <w:tcPr>
            <w:tcW w:w="4962" w:type="dxa"/>
            <w:vAlign w:val="center"/>
          </w:tcPr>
          <w:p w14:paraId="439F6C29" w14:textId="77777777" w:rsidR="004353DB" w:rsidRPr="004E3BDC" w:rsidRDefault="004353DB" w:rsidP="004E3BDC">
            <w:pPr>
              <w:rPr>
                <w:rFonts w:ascii="Arial" w:hAnsi="Arial" w:cs="Arial"/>
                <w:b/>
                <w:sz w:val="20"/>
                <w:szCs w:val="20"/>
              </w:rPr>
            </w:pPr>
            <w:r w:rsidRPr="004E3BDC">
              <w:rPr>
                <w:rFonts w:ascii="Arial" w:hAnsi="Arial" w:cs="Arial"/>
                <w:b/>
                <w:sz w:val="20"/>
                <w:szCs w:val="20"/>
              </w:rPr>
              <w:t>Área de confinamento até 1.250 m2 e / ou 10.000 aves.</w:t>
            </w:r>
          </w:p>
        </w:tc>
      </w:tr>
      <w:tr w:rsidR="004353DB" w:rsidRPr="004353DB" w14:paraId="65FBE571" w14:textId="77777777" w:rsidTr="004E3BDC">
        <w:trPr>
          <w:trHeight w:val="658"/>
        </w:trPr>
        <w:tc>
          <w:tcPr>
            <w:tcW w:w="2123" w:type="dxa"/>
            <w:vMerge/>
            <w:vAlign w:val="center"/>
          </w:tcPr>
          <w:p w14:paraId="1F8BC86A" w14:textId="77777777" w:rsidR="004353DB" w:rsidRPr="004353DB" w:rsidRDefault="004353DB" w:rsidP="004E3BDC">
            <w:pPr>
              <w:jc w:val="center"/>
              <w:rPr>
                <w:rFonts w:ascii="Arial" w:hAnsi="Arial" w:cs="Arial"/>
                <w:sz w:val="20"/>
                <w:szCs w:val="20"/>
              </w:rPr>
            </w:pPr>
          </w:p>
        </w:tc>
        <w:tc>
          <w:tcPr>
            <w:tcW w:w="2124" w:type="dxa"/>
            <w:vAlign w:val="center"/>
          </w:tcPr>
          <w:p w14:paraId="50944926" w14:textId="77777777" w:rsidR="004353DB" w:rsidRPr="004353DB" w:rsidRDefault="004353DB" w:rsidP="004E3BDC">
            <w:pPr>
              <w:jc w:val="center"/>
              <w:rPr>
                <w:rFonts w:ascii="Arial" w:hAnsi="Arial" w:cs="Arial"/>
                <w:sz w:val="20"/>
                <w:szCs w:val="20"/>
              </w:rPr>
            </w:pPr>
            <w:r w:rsidRPr="004353DB">
              <w:rPr>
                <w:rFonts w:ascii="Arial" w:hAnsi="Arial" w:cs="Arial"/>
                <w:sz w:val="20"/>
                <w:szCs w:val="20"/>
              </w:rPr>
              <w:t>Aves de corte</w:t>
            </w:r>
          </w:p>
        </w:tc>
        <w:tc>
          <w:tcPr>
            <w:tcW w:w="4962" w:type="dxa"/>
            <w:vAlign w:val="center"/>
          </w:tcPr>
          <w:p w14:paraId="63C70AF3" w14:textId="77777777" w:rsidR="004353DB" w:rsidRPr="004E3BDC" w:rsidRDefault="004353DB" w:rsidP="004E3BDC">
            <w:pPr>
              <w:rPr>
                <w:rFonts w:ascii="Arial" w:hAnsi="Arial" w:cs="Arial"/>
                <w:b/>
                <w:sz w:val="20"/>
                <w:szCs w:val="20"/>
              </w:rPr>
            </w:pPr>
            <w:r w:rsidRPr="004E3BDC">
              <w:rPr>
                <w:rFonts w:ascii="Arial" w:hAnsi="Arial" w:cs="Arial"/>
                <w:b/>
                <w:sz w:val="20"/>
                <w:szCs w:val="20"/>
              </w:rPr>
              <w:t>Área de confinamento até 500 m2 ou 4.000 aves/ciclo.</w:t>
            </w:r>
          </w:p>
        </w:tc>
      </w:tr>
      <w:tr w:rsidR="004353DB" w:rsidRPr="004353DB" w14:paraId="23A9ACDF" w14:textId="77777777" w:rsidTr="004E3BDC">
        <w:trPr>
          <w:trHeight w:val="450"/>
        </w:trPr>
        <w:tc>
          <w:tcPr>
            <w:tcW w:w="2123" w:type="dxa"/>
            <w:vMerge/>
            <w:vAlign w:val="center"/>
          </w:tcPr>
          <w:p w14:paraId="0B9DFFBD" w14:textId="77777777" w:rsidR="004353DB" w:rsidRPr="004353DB" w:rsidRDefault="004353DB" w:rsidP="004E3BDC">
            <w:pPr>
              <w:jc w:val="center"/>
              <w:rPr>
                <w:rFonts w:ascii="Arial" w:hAnsi="Arial" w:cs="Arial"/>
                <w:sz w:val="20"/>
                <w:szCs w:val="20"/>
              </w:rPr>
            </w:pPr>
          </w:p>
        </w:tc>
        <w:tc>
          <w:tcPr>
            <w:tcW w:w="2124" w:type="dxa"/>
            <w:vAlign w:val="center"/>
          </w:tcPr>
          <w:p w14:paraId="4768A76A" w14:textId="77777777" w:rsidR="004353DB" w:rsidRPr="004353DB" w:rsidRDefault="004353DB" w:rsidP="004E3BDC">
            <w:pPr>
              <w:jc w:val="center"/>
              <w:rPr>
                <w:rFonts w:ascii="Arial" w:hAnsi="Arial" w:cs="Arial"/>
                <w:sz w:val="20"/>
                <w:szCs w:val="20"/>
              </w:rPr>
            </w:pPr>
            <w:r w:rsidRPr="004353DB">
              <w:rPr>
                <w:rFonts w:ascii="Arial" w:hAnsi="Arial" w:cs="Arial"/>
                <w:sz w:val="20"/>
                <w:szCs w:val="20"/>
              </w:rPr>
              <w:t>Codornas</w:t>
            </w:r>
          </w:p>
        </w:tc>
        <w:tc>
          <w:tcPr>
            <w:tcW w:w="4962" w:type="dxa"/>
            <w:vAlign w:val="center"/>
          </w:tcPr>
          <w:p w14:paraId="14EB585D" w14:textId="77777777" w:rsidR="004353DB" w:rsidRPr="004E3BDC" w:rsidRDefault="004353DB" w:rsidP="004E3BDC">
            <w:pPr>
              <w:rPr>
                <w:rFonts w:ascii="Arial" w:hAnsi="Arial" w:cs="Arial"/>
                <w:b/>
                <w:sz w:val="20"/>
                <w:szCs w:val="20"/>
              </w:rPr>
            </w:pPr>
            <w:r w:rsidRPr="004E3BDC">
              <w:rPr>
                <w:rFonts w:ascii="Arial" w:hAnsi="Arial" w:cs="Arial"/>
                <w:b/>
                <w:sz w:val="20"/>
                <w:szCs w:val="20"/>
              </w:rPr>
              <w:t>Até 50.000 bicos.</w:t>
            </w:r>
          </w:p>
        </w:tc>
      </w:tr>
      <w:tr w:rsidR="004353DB" w:rsidRPr="004353DB" w14:paraId="62C9B92F" w14:textId="77777777" w:rsidTr="004E3BDC">
        <w:trPr>
          <w:trHeight w:val="654"/>
        </w:trPr>
        <w:tc>
          <w:tcPr>
            <w:tcW w:w="2123" w:type="dxa"/>
            <w:vAlign w:val="center"/>
          </w:tcPr>
          <w:p w14:paraId="3F59AC9F" w14:textId="77777777" w:rsidR="004353DB" w:rsidRPr="004353DB" w:rsidRDefault="004353DB" w:rsidP="004E3BDC">
            <w:pPr>
              <w:jc w:val="center"/>
              <w:rPr>
                <w:rFonts w:ascii="Arial" w:hAnsi="Arial" w:cs="Arial"/>
                <w:sz w:val="20"/>
                <w:szCs w:val="20"/>
              </w:rPr>
            </w:pPr>
          </w:p>
        </w:tc>
        <w:tc>
          <w:tcPr>
            <w:tcW w:w="2124" w:type="dxa"/>
            <w:vAlign w:val="center"/>
          </w:tcPr>
          <w:p w14:paraId="6E401FC8" w14:textId="77777777" w:rsidR="004353DB" w:rsidRPr="004353DB" w:rsidRDefault="004353DB" w:rsidP="004E3BDC">
            <w:pPr>
              <w:jc w:val="center"/>
              <w:rPr>
                <w:rFonts w:ascii="Arial" w:hAnsi="Arial" w:cs="Arial"/>
                <w:sz w:val="20"/>
                <w:szCs w:val="20"/>
              </w:rPr>
            </w:pPr>
            <w:r w:rsidRPr="004353DB">
              <w:rPr>
                <w:rFonts w:ascii="Arial" w:hAnsi="Arial" w:cs="Arial"/>
                <w:sz w:val="20"/>
                <w:szCs w:val="20"/>
              </w:rPr>
              <w:t>Outros animais de pequeno porte</w:t>
            </w:r>
          </w:p>
        </w:tc>
        <w:tc>
          <w:tcPr>
            <w:tcW w:w="4962" w:type="dxa"/>
            <w:vAlign w:val="center"/>
          </w:tcPr>
          <w:p w14:paraId="2D103B8F" w14:textId="77777777" w:rsidR="004353DB" w:rsidRPr="004E3BDC" w:rsidRDefault="004353DB" w:rsidP="004E3BDC">
            <w:pPr>
              <w:rPr>
                <w:rFonts w:ascii="Arial" w:hAnsi="Arial" w:cs="Arial"/>
                <w:b/>
                <w:sz w:val="20"/>
                <w:szCs w:val="20"/>
              </w:rPr>
            </w:pPr>
            <w:r w:rsidRPr="004E3BDC">
              <w:rPr>
                <w:rFonts w:ascii="Arial" w:hAnsi="Arial" w:cs="Arial"/>
                <w:b/>
                <w:sz w:val="20"/>
                <w:szCs w:val="20"/>
              </w:rPr>
              <w:t>Até 500 animais</w:t>
            </w:r>
          </w:p>
        </w:tc>
      </w:tr>
    </w:tbl>
    <w:p w14:paraId="6FD230EA" w14:textId="77777777" w:rsidR="004353DB" w:rsidRPr="004E3BDC" w:rsidRDefault="004353DB" w:rsidP="004E3BDC">
      <w:pPr>
        <w:jc w:val="both"/>
        <w:rPr>
          <w:rFonts w:ascii="Arial" w:hAnsi="Arial" w:cs="Arial"/>
          <w:i/>
          <w:sz w:val="20"/>
          <w:szCs w:val="20"/>
        </w:rPr>
      </w:pPr>
      <w:proofErr w:type="gramStart"/>
      <w:r w:rsidRPr="004E3BDC">
        <w:rPr>
          <w:rFonts w:ascii="Arial" w:hAnsi="Arial" w:cs="Arial"/>
          <w:i/>
          <w:sz w:val="20"/>
          <w:szCs w:val="20"/>
        </w:rPr>
        <w:t>O somatório das áreas produtivas não poderão</w:t>
      </w:r>
      <w:proofErr w:type="gramEnd"/>
      <w:r w:rsidRPr="004E3BDC">
        <w:rPr>
          <w:rFonts w:ascii="Arial" w:hAnsi="Arial" w:cs="Arial"/>
          <w:i/>
          <w:sz w:val="20"/>
          <w:szCs w:val="20"/>
        </w:rPr>
        <w:t xml:space="preserve"> ultrapassar 15 ha por imóvel rural. </w:t>
      </w:r>
    </w:p>
    <w:p w14:paraId="6DAB6FF9" w14:textId="77777777" w:rsidR="004353DB" w:rsidRPr="004E3BDC" w:rsidRDefault="004353DB" w:rsidP="004E3BDC">
      <w:pPr>
        <w:jc w:val="both"/>
        <w:rPr>
          <w:rFonts w:ascii="Arial" w:hAnsi="Arial" w:cs="Arial"/>
          <w:b/>
          <w:sz w:val="20"/>
          <w:szCs w:val="20"/>
        </w:rPr>
      </w:pPr>
      <w:r w:rsidRPr="004E3BDC">
        <w:rPr>
          <w:rFonts w:ascii="Arial" w:hAnsi="Arial" w:cs="Arial"/>
          <w:b/>
          <w:sz w:val="20"/>
          <w:szCs w:val="20"/>
        </w:rPr>
        <w:t>Agricultura Familiar:</w:t>
      </w:r>
    </w:p>
    <w:tbl>
      <w:tblPr>
        <w:tblStyle w:val="Tabelacomgrade"/>
        <w:tblW w:w="0" w:type="auto"/>
        <w:tblLook w:val="04A0" w:firstRow="1" w:lastRow="0" w:firstColumn="1" w:lastColumn="0" w:noHBand="0" w:noVBand="1"/>
      </w:tblPr>
      <w:tblGrid>
        <w:gridCol w:w="2123"/>
        <w:gridCol w:w="2124"/>
        <w:gridCol w:w="4962"/>
      </w:tblGrid>
      <w:tr w:rsidR="004353DB" w:rsidRPr="004353DB" w14:paraId="76B42CC7" w14:textId="77777777" w:rsidTr="004E3BDC">
        <w:trPr>
          <w:trHeight w:val="438"/>
        </w:trPr>
        <w:tc>
          <w:tcPr>
            <w:tcW w:w="4247" w:type="dxa"/>
            <w:gridSpan w:val="2"/>
            <w:vAlign w:val="center"/>
          </w:tcPr>
          <w:p w14:paraId="64F3A41B" w14:textId="77777777" w:rsidR="004353DB" w:rsidRPr="004353DB" w:rsidRDefault="004353DB" w:rsidP="004E3BDC">
            <w:pPr>
              <w:jc w:val="center"/>
              <w:rPr>
                <w:rFonts w:ascii="Arial" w:hAnsi="Arial" w:cs="Arial"/>
                <w:sz w:val="20"/>
                <w:szCs w:val="20"/>
              </w:rPr>
            </w:pPr>
            <w:r w:rsidRPr="004353DB">
              <w:rPr>
                <w:rFonts w:ascii="Arial" w:hAnsi="Arial" w:cs="Arial"/>
                <w:sz w:val="20"/>
                <w:szCs w:val="20"/>
              </w:rPr>
              <w:t>Criação de animais de médio porte</w:t>
            </w:r>
          </w:p>
        </w:tc>
        <w:tc>
          <w:tcPr>
            <w:tcW w:w="4962" w:type="dxa"/>
            <w:vAlign w:val="center"/>
          </w:tcPr>
          <w:p w14:paraId="71EB9B5D" w14:textId="77777777" w:rsidR="004353DB" w:rsidRPr="004E3BDC" w:rsidRDefault="004353DB" w:rsidP="004E3BDC">
            <w:pPr>
              <w:jc w:val="center"/>
              <w:rPr>
                <w:rFonts w:ascii="Arial" w:hAnsi="Arial" w:cs="Arial"/>
                <w:b/>
                <w:sz w:val="20"/>
                <w:szCs w:val="20"/>
              </w:rPr>
            </w:pPr>
            <w:r w:rsidRPr="004E3BDC">
              <w:rPr>
                <w:rFonts w:ascii="Arial" w:hAnsi="Arial" w:cs="Arial"/>
                <w:b/>
                <w:sz w:val="20"/>
                <w:szCs w:val="20"/>
              </w:rPr>
              <w:t>Máximo de 15 UA e área até 10 ha.</w:t>
            </w:r>
          </w:p>
        </w:tc>
      </w:tr>
      <w:tr w:rsidR="004353DB" w:rsidRPr="004353DB" w14:paraId="1E01DD38" w14:textId="77777777" w:rsidTr="004E3BDC">
        <w:trPr>
          <w:trHeight w:val="483"/>
        </w:trPr>
        <w:tc>
          <w:tcPr>
            <w:tcW w:w="4247" w:type="dxa"/>
            <w:gridSpan w:val="2"/>
            <w:vAlign w:val="center"/>
          </w:tcPr>
          <w:p w14:paraId="7926C101" w14:textId="77777777" w:rsidR="004353DB" w:rsidRPr="004353DB" w:rsidRDefault="004353DB" w:rsidP="004E3BDC">
            <w:pPr>
              <w:jc w:val="center"/>
              <w:rPr>
                <w:rFonts w:ascii="Arial" w:hAnsi="Arial" w:cs="Arial"/>
                <w:sz w:val="20"/>
                <w:szCs w:val="20"/>
              </w:rPr>
            </w:pPr>
            <w:r w:rsidRPr="004353DB">
              <w:rPr>
                <w:rFonts w:ascii="Arial" w:hAnsi="Arial" w:cs="Arial"/>
                <w:sz w:val="20"/>
                <w:szCs w:val="20"/>
              </w:rPr>
              <w:t>Criação de animais de grande porte</w:t>
            </w:r>
          </w:p>
        </w:tc>
        <w:tc>
          <w:tcPr>
            <w:tcW w:w="4962" w:type="dxa"/>
            <w:vAlign w:val="center"/>
          </w:tcPr>
          <w:p w14:paraId="5EC74729" w14:textId="77777777" w:rsidR="004353DB" w:rsidRPr="004E3BDC" w:rsidRDefault="004353DB" w:rsidP="004E3BDC">
            <w:pPr>
              <w:jc w:val="center"/>
              <w:rPr>
                <w:rFonts w:ascii="Arial" w:hAnsi="Arial" w:cs="Arial"/>
                <w:b/>
                <w:sz w:val="20"/>
                <w:szCs w:val="20"/>
              </w:rPr>
            </w:pPr>
            <w:r w:rsidRPr="004E3BDC">
              <w:rPr>
                <w:rFonts w:ascii="Arial" w:hAnsi="Arial" w:cs="Arial"/>
                <w:b/>
                <w:sz w:val="20"/>
                <w:szCs w:val="20"/>
              </w:rPr>
              <w:t>Máximo de 15 UA e área até 10 ha</w:t>
            </w:r>
          </w:p>
        </w:tc>
      </w:tr>
      <w:tr w:rsidR="004353DB" w:rsidRPr="004353DB" w14:paraId="48CF611F" w14:textId="77777777" w:rsidTr="004E3BDC">
        <w:trPr>
          <w:trHeight w:val="374"/>
        </w:trPr>
        <w:tc>
          <w:tcPr>
            <w:tcW w:w="2123" w:type="dxa"/>
            <w:vMerge w:val="restart"/>
            <w:vAlign w:val="center"/>
          </w:tcPr>
          <w:p w14:paraId="48906158" w14:textId="77777777" w:rsidR="004353DB" w:rsidRPr="004353DB" w:rsidRDefault="004353DB" w:rsidP="004E3BDC">
            <w:pPr>
              <w:jc w:val="center"/>
              <w:rPr>
                <w:rFonts w:ascii="Arial" w:hAnsi="Arial" w:cs="Arial"/>
                <w:sz w:val="20"/>
                <w:szCs w:val="20"/>
              </w:rPr>
            </w:pPr>
            <w:r w:rsidRPr="004353DB">
              <w:rPr>
                <w:rFonts w:ascii="Arial" w:hAnsi="Arial" w:cs="Arial"/>
                <w:sz w:val="20"/>
                <w:szCs w:val="20"/>
              </w:rPr>
              <w:t>Porcos</w:t>
            </w:r>
          </w:p>
        </w:tc>
        <w:tc>
          <w:tcPr>
            <w:tcW w:w="2124" w:type="dxa"/>
            <w:vAlign w:val="center"/>
          </w:tcPr>
          <w:p w14:paraId="65F3490E" w14:textId="77777777" w:rsidR="004353DB" w:rsidRPr="004353DB" w:rsidRDefault="004353DB" w:rsidP="004E3BDC">
            <w:pPr>
              <w:jc w:val="center"/>
              <w:rPr>
                <w:rFonts w:ascii="Arial" w:hAnsi="Arial" w:cs="Arial"/>
                <w:sz w:val="20"/>
                <w:szCs w:val="20"/>
              </w:rPr>
            </w:pPr>
            <w:r w:rsidRPr="004353DB">
              <w:rPr>
                <w:rFonts w:ascii="Arial" w:hAnsi="Arial" w:cs="Arial"/>
                <w:sz w:val="20"/>
                <w:szCs w:val="20"/>
              </w:rPr>
              <w:t>Produção de leitões</w:t>
            </w:r>
          </w:p>
        </w:tc>
        <w:tc>
          <w:tcPr>
            <w:tcW w:w="4962" w:type="dxa"/>
            <w:vAlign w:val="center"/>
          </w:tcPr>
          <w:p w14:paraId="414680FE" w14:textId="77777777" w:rsidR="004353DB" w:rsidRPr="004E3BDC" w:rsidRDefault="004353DB" w:rsidP="004E3BDC">
            <w:pPr>
              <w:jc w:val="center"/>
              <w:rPr>
                <w:rFonts w:ascii="Arial" w:hAnsi="Arial" w:cs="Arial"/>
                <w:b/>
                <w:sz w:val="20"/>
                <w:szCs w:val="20"/>
              </w:rPr>
            </w:pPr>
            <w:r w:rsidRPr="004E3BDC">
              <w:rPr>
                <w:rFonts w:ascii="Arial" w:hAnsi="Arial" w:cs="Arial"/>
                <w:b/>
                <w:sz w:val="20"/>
                <w:szCs w:val="20"/>
              </w:rPr>
              <w:t>Até 04 matrizes</w:t>
            </w:r>
          </w:p>
        </w:tc>
      </w:tr>
      <w:tr w:rsidR="004353DB" w:rsidRPr="004353DB" w14:paraId="7416A717" w14:textId="77777777" w:rsidTr="004E3BDC">
        <w:trPr>
          <w:trHeight w:val="433"/>
        </w:trPr>
        <w:tc>
          <w:tcPr>
            <w:tcW w:w="2123" w:type="dxa"/>
            <w:vMerge/>
            <w:vAlign w:val="center"/>
          </w:tcPr>
          <w:p w14:paraId="56CDBBBA" w14:textId="77777777" w:rsidR="004353DB" w:rsidRPr="004353DB" w:rsidRDefault="004353DB" w:rsidP="004E3BDC">
            <w:pPr>
              <w:jc w:val="center"/>
              <w:rPr>
                <w:rFonts w:ascii="Arial" w:hAnsi="Arial" w:cs="Arial"/>
                <w:sz w:val="20"/>
                <w:szCs w:val="20"/>
              </w:rPr>
            </w:pPr>
          </w:p>
        </w:tc>
        <w:tc>
          <w:tcPr>
            <w:tcW w:w="2124" w:type="dxa"/>
            <w:vAlign w:val="center"/>
          </w:tcPr>
          <w:p w14:paraId="2DA7A3C4" w14:textId="77777777" w:rsidR="004353DB" w:rsidRPr="004353DB" w:rsidRDefault="004353DB" w:rsidP="004E3BDC">
            <w:pPr>
              <w:jc w:val="center"/>
              <w:rPr>
                <w:rFonts w:ascii="Arial" w:hAnsi="Arial" w:cs="Arial"/>
                <w:sz w:val="20"/>
                <w:szCs w:val="20"/>
              </w:rPr>
            </w:pPr>
            <w:r w:rsidRPr="004353DB">
              <w:rPr>
                <w:rFonts w:ascii="Arial" w:hAnsi="Arial" w:cs="Arial"/>
                <w:sz w:val="20"/>
                <w:szCs w:val="20"/>
              </w:rPr>
              <w:t>Ciclo completo</w:t>
            </w:r>
          </w:p>
        </w:tc>
        <w:tc>
          <w:tcPr>
            <w:tcW w:w="4962" w:type="dxa"/>
            <w:vAlign w:val="center"/>
          </w:tcPr>
          <w:p w14:paraId="13425DD6" w14:textId="77777777" w:rsidR="004353DB" w:rsidRPr="004E3BDC" w:rsidRDefault="004353DB" w:rsidP="004E3BDC">
            <w:pPr>
              <w:jc w:val="center"/>
              <w:rPr>
                <w:rFonts w:ascii="Arial" w:hAnsi="Arial" w:cs="Arial"/>
                <w:b/>
                <w:sz w:val="20"/>
                <w:szCs w:val="20"/>
              </w:rPr>
            </w:pPr>
            <w:r w:rsidRPr="004E3BDC">
              <w:rPr>
                <w:rFonts w:ascii="Arial" w:hAnsi="Arial" w:cs="Arial"/>
                <w:b/>
                <w:sz w:val="20"/>
                <w:szCs w:val="20"/>
              </w:rPr>
              <w:t>Até 02 matrizes</w:t>
            </w:r>
          </w:p>
        </w:tc>
      </w:tr>
      <w:tr w:rsidR="004353DB" w:rsidRPr="004353DB" w14:paraId="121B14B5" w14:textId="77777777" w:rsidTr="004E3BDC">
        <w:trPr>
          <w:trHeight w:val="480"/>
        </w:trPr>
        <w:tc>
          <w:tcPr>
            <w:tcW w:w="2123" w:type="dxa"/>
            <w:vMerge/>
            <w:vAlign w:val="center"/>
          </w:tcPr>
          <w:p w14:paraId="24152115" w14:textId="77777777" w:rsidR="004353DB" w:rsidRPr="004353DB" w:rsidRDefault="004353DB" w:rsidP="004E3BDC">
            <w:pPr>
              <w:jc w:val="center"/>
              <w:rPr>
                <w:rFonts w:ascii="Arial" w:hAnsi="Arial" w:cs="Arial"/>
                <w:sz w:val="20"/>
                <w:szCs w:val="20"/>
              </w:rPr>
            </w:pPr>
          </w:p>
        </w:tc>
        <w:tc>
          <w:tcPr>
            <w:tcW w:w="2124" w:type="dxa"/>
            <w:vAlign w:val="center"/>
          </w:tcPr>
          <w:p w14:paraId="59A2E2B1" w14:textId="77777777" w:rsidR="004353DB" w:rsidRPr="004353DB" w:rsidRDefault="004353DB" w:rsidP="004E3BDC">
            <w:pPr>
              <w:jc w:val="center"/>
              <w:rPr>
                <w:rFonts w:ascii="Arial" w:hAnsi="Arial" w:cs="Arial"/>
                <w:sz w:val="20"/>
                <w:szCs w:val="20"/>
              </w:rPr>
            </w:pPr>
            <w:r w:rsidRPr="004353DB">
              <w:rPr>
                <w:rFonts w:ascii="Arial" w:hAnsi="Arial" w:cs="Arial"/>
                <w:sz w:val="20"/>
                <w:szCs w:val="20"/>
              </w:rPr>
              <w:t>Terminação</w:t>
            </w:r>
          </w:p>
        </w:tc>
        <w:tc>
          <w:tcPr>
            <w:tcW w:w="4962" w:type="dxa"/>
            <w:vAlign w:val="center"/>
          </w:tcPr>
          <w:p w14:paraId="58DF85C1" w14:textId="77777777" w:rsidR="004353DB" w:rsidRPr="004E3BDC" w:rsidRDefault="004353DB" w:rsidP="004E3BDC">
            <w:pPr>
              <w:jc w:val="center"/>
              <w:rPr>
                <w:rFonts w:ascii="Arial" w:hAnsi="Arial" w:cs="Arial"/>
                <w:b/>
                <w:sz w:val="20"/>
                <w:szCs w:val="20"/>
              </w:rPr>
            </w:pPr>
            <w:r w:rsidRPr="004E3BDC">
              <w:rPr>
                <w:rFonts w:ascii="Arial" w:hAnsi="Arial" w:cs="Arial"/>
                <w:b/>
                <w:sz w:val="20"/>
                <w:szCs w:val="20"/>
              </w:rPr>
              <w:t>Até 46 animais por ciclo</w:t>
            </w:r>
          </w:p>
        </w:tc>
      </w:tr>
    </w:tbl>
    <w:p w14:paraId="33F62431" w14:textId="77777777" w:rsidR="004353DB" w:rsidRPr="004353DB" w:rsidRDefault="004353DB" w:rsidP="004E3BDC">
      <w:pPr>
        <w:jc w:val="both"/>
        <w:rPr>
          <w:rFonts w:ascii="Arial" w:hAnsi="Arial" w:cs="Arial"/>
          <w:sz w:val="20"/>
          <w:szCs w:val="20"/>
        </w:rPr>
      </w:pPr>
    </w:p>
    <w:p w14:paraId="04D74DBC" w14:textId="77777777" w:rsidR="004353DB" w:rsidRPr="004353DB" w:rsidRDefault="004353DB" w:rsidP="004E3BDC">
      <w:pPr>
        <w:jc w:val="both"/>
        <w:rPr>
          <w:rFonts w:ascii="Arial" w:hAnsi="Arial" w:cs="Arial"/>
          <w:sz w:val="20"/>
          <w:szCs w:val="20"/>
        </w:rPr>
      </w:pPr>
      <w:r w:rsidRPr="004353DB">
        <w:rPr>
          <w:rFonts w:ascii="Arial" w:hAnsi="Arial" w:cs="Arial"/>
          <w:sz w:val="20"/>
          <w:szCs w:val="20"/>
        </w:rPr>
        <w:t xml:space="preserve">REGISTRE-SE, PUBLIQUE-SE, E CUMPRA-SE. </w:t>
      </w:r>
    </w:p>
    <w:p w14:paraId="52CDE848" w14:textId="77777777" w:rsidR="004353DB" w:rsidRPr="004353DB" w:rsidRDefault="004353DB" w:rsidP="004E3BDC">
      <w:pPr>
        <w:jc w:val="both"/>
        <w:rPr>
          <w:rFonts w:ascii="Arial" w:hAnsi="Arial" w:cs="Arial"/>
          <w:sz w:val="20"/>
          <w:szCs w:val="20"/>
        </w:rPr>
      </w:pPr>
      <w:r w:rsidRPr="004353DB">
        <w:rPr>
          <w:rFonts w:ascii="Arial" w:hAnsi="Arial" w:cs="Arial"/>
          <w:sz w:val="20"/>
          <w:szCs w:val="20"/>
        </w:rPr>
        <w:t xml:space="preserve">Gabinete da Presidência do Instituto de Proteção Ambiental do Amazonas - IPAAM, em Manaus, 11 de maio de 2020. </w:t>
      </w:r>
    </w:p>
    <w:p w14:paraId="4054FAD5"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 xml:space="preserve">JULIANO MARCOS VALENTE DE SOUZA </w:t>
      </w:r>
    </w:p>
    <w:p w14:paraId="17278DB4" w14:textId="77777777" w:rsidR="004353DB" w:rsidRPr="004353DB" w:rsidRDefault="004353DB" w:rsidP="004E3BDC">
      <w:pPr>
        <w:spacing w:before="240"/>
        <w:jc w:val="both"/>
        <w:rPr>
          <w:rFonts w:ascii="Arial" w:hAnsi="Arial" w:cs="Arial"/>
          <w:sz w:val="20"/>
          <w:szCs w:val="20"/>
        </w:rPr>
      </w:pPr>
      <w:r w:rsidRPr="004353DB">
        <w:rPr>
          <w:rFonts w:ascii="Arial" w:hAnsi="Arial" w:cs="Arial"/>
          <w:sz w:val="20"/>
          <w:szCs w:val="20"/>
        </w:rPr>
        <w:t>Diretor Presidente do Instituto de Proteção Ambiental do Estado do Amazonas - IPAAM</w:t>
      </w:r>
    </w:p>
    <w:sectPr w:rsidR="004353DB" w:rsidRPr="004353DB" w:rsidSect="004E3BDC">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DB"/>
    <w:rsid w:val="00071EBE"/>
    <w:rsid w:val="004353DB"/>
    <w:rsid w:val="004E3BDC"/>
    <w:rsid w:val="007650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17BA"/>
  <w15:chartTrackingRefBased/>
  <w15:docId w15:val="{76C2CE7B-78A5-4D7C-BEDD-135038CA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35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35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994</Words>
  <Characters>5372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Eirie Vinhote</dc:creator>
  <cp:keywords/>
  <dc:description/>
  <cp:lastModifiedBy>Eirie Gentil Vinhote</cp:lastModifiedBy>
  <cp:revision>2</cp:revision>
  <cp:lastPrinted>2020-05-14T13:17:00Z</cp:lastPrinted>
  <dcterms:created xsi:type="dcterms:W3CDTF">2020-10-23T16:09:00Z</dcterms:created>
  <dcterms:modified xsi:type="dcterms:W3CDTF">2020-10-23T16:09:00Z</dcterms:modified>
</cp:coreProperties>
</file>